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073BDC12" w:rsidR="002D7EDC" w:rsidRDefault="00936B2D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2D7EDC" w:rsidRDefault="002D7EDC">
      <w:pPr>
        <w:spacing w:after="0"/>
        <w:jc w:val="both"/>
      </w:pPr>
    </w:p>
    <w:p w14:paraId="03000000" w14:textId="77777777" w:rsidR="002D7EDC" w:rsidRDefault="00936B2D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Минпромторг России проработал возможность отсрочки даты вступления в силу новых правил расчета утильсбора на легковые автомобили</w:t>
      </w:r>
      <w:r>
        <w:rPr>
          <w:rFonts w:ascii="Times New Roman" w:hAnsi="Times New Roman"/>
          <w:sz w:val="28"/>
        </w:rPr>
        <w:br/>
      </w:r>
    </w:p>
    <w:p w14:paraId="04000000" w14:textId="77777777" w:rsidR="002D7EDC" w:rsidRDefault="00936B2D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 Информация&gt; Минпромторга России от 31.10.2025 "Срок </w:t>
      </w:r>
      <w:r>
        <w:rPr>
          <w:rFonts w:ascii="Times New Roman" w:hAnsi="Times New Roman"/>
          <w:sz w:val="28"/>
        </w:rPr>
        <w:t>вступления в силу новых правил расчета утильсбора на легковые автомобили будет перенесен на декабрь"</w:t>
      </w:r>
    </w:p>
    <w:p w14:paraId="05000000" w14:textId="77777777" w:rsidR="002D7EDC" w:rsidRDefault="00936B2D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Сообщается, что ранее Минпромторгом России были подготовлены изменения в механику расчета утилизационного сбора, предполагающие введение дополнительных пок</w:t>
      </w:r>
      <w:r>
        <w:rPr>
          <w:rFonts w:ascii="Times New Roman" w:hAnsi="Times New Roman"/>
          <w:sz w:val="28"/>
        </w:rPr>
        <w:t>азателей для легковых автомобилей (категории М1).</w:t>
      </w:r>
    </w:p>
    <w:p w14:paraId="06000000" w14:textId="77777777" w:rsidR="002D7EDC" w:rsidRDefault="00936B2D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Сформированный подход подразумевает, что базовая ставка для расчета утилизационного сбора формируется на основании типа и объема двигателя, а мощность двигателя влияет на формирование коэффициента по прогре</w:t>
      </w:r>
      <w:r>
        <w:rPr>
          <w:rFonts w:ascii="Times New Roman" w:hAnsi="Times New Roman"/>
          <w:sz w:val="28"/>
        </w:rPr>
        <w:t>ссивной шкале. При этом предлагается сохранить действие меры поддержки в виде льготного коэффициента для граждан, которые ввозят иномарку с мощностью двигателя до 160 л.с. для личного пользования.</w:t>
      </w:r>
    </w:p>
    <w:p w14:paraId="07000000" w14:textId="77777777" w:rsidR="002D7EDC" w:rsidRDefault="00936B2D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Принято решение о переносе предполагаемого вступления поста</w:t>
      </w:r>
      <w:r>
        <w:rPr>
          <w:rFonts w:ascii="Times New Roman" w:hAnsi="Times New Roman"/>
          <w:sz w:val="28"/>
        </w:rPr>
        <w:t>новления в силу на один месяц - с 1 декабря 2025 года (вместо 1 ноября 2025 года). Проект постановления в соответствующей редакции внесен в Правительство РФ.</w:t>
      </w:r>
    </w:p>
    <w:p w14:paraId="08000000" w14:textId="77777777" w:rsidR="002D7EDC" w:rsidRDefault="00936B2D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Подчеркивается, что изменения не отразятся на автолюбителях, которые оплатили утильсбор на иномарк</w:t>
      </w:r>
      <w:r>
        <w:rPr>
          <w:rFonts w:ascii="Times New Roman" w:hAnsi="Times New Roman"/>
          <w:sz w:val="28"/>
        </w:rPr>
        <w:t>у по действующим параметрам до вступления в силу новой нормы. Сейчас при планировании новых заказов на зарубежные автомобили необходимо учитывать предлагаемые изменения в расчете утильсбора.</w:t>
      </w:r>
    </w:p>
    <w:p w14:paraId="09000000" w14:textId="77777777" w:rsidR="002D7EDC" w:rsidRDefault="00936B2D">
      <w:pPr>
        <w:spacing w:after="0"/>
        <w:jc w:val="both"/>
      </w:pPr>
      <w:r>
        <w:t> </w:t>
      </w:r>
    </w:p>
    <w:p w14:paraId="0A000000" w14:textId="77777777" w:rsidR="002D7EDC" w:rsidRDefault="002D7EDC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2D7EDC" w:rsidRDefault="00936B2D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2D7EDC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EDC"/>
    <w:rsid w:val="002D7EDC"/>
    <w:rsid w:val="0093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F1C5A-26E8-4DB1-AD8A-33FFFA5A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2025-11-13T12:30:00Z</dcterms:created>
  <dcterms:modified xsi:type="dcterms:W3CDTF">2025-11-13T12:30:00Z</dcterms:modified>
</cp:coreProperties>
</file>